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10" w:rsidRPr="006E0110" w:rsidRDefault="006E0110" w:rsidP="006E0110">
      <w:pPr>
        <w:ind w:firstLine="708"/>
        <w:rPr>
          <w:rFonts w:ascii="Arial" w:hAnsi="Arial" w:cs="Arial"/>
          <w:b/>
          <w:sz w:val="24"/>
        </w:rPr>
      </w:pPr>
      <w:bookmarkStart w:id="0" w:name="_Hlk531106311"/>
      <w:bookmarkStart w:id="1" w:name="_Hlk531328308"/>
      <w:bookmarkEnd w:id="1"/>
      <w:r w:rsidRPr="006E0110">
        <w:rPr>
          <w:rFonts w:ascii="Arial" w:hAnsi="Arial" w:cs="Arial"/>
          <w:b/>
          <w:sz w:val="24"/>
        </w:rPr>
        <w:t xml:space="preserve">Anexo ao artigo </w:t>
      </w:r>
    </w:p>
    <w:p w:rsidR="006E0110" w:rsidRPr="004272D9" w:rsidRDefault="006E0110" w:rsidP="004272D9">
      <w:pPr>
        <w:ind w:firstLine="708"/>
        <w:jc w:val="center"/>
        <w:rPr>
          <w:rFonts w:ascii="Arial" w:hAnsi="Arial" w:cs="Arial"/>
          <w:i/>
        </w:rPr>
      </w:pPr>
      <w:r w:rsidRPr="004272D9">
        <w:rPr>
          <w:rFonts w:ascii="Arial" w:hAnsi="Arial" w:cs="Arial"/>
          <w:i/>
        </w:rPr>
        <w:t>Tabelas com os valores das atividades das placas cromatográficas</w:t>
      </w:r>
      <w:r w:rsidRPr="004272D9">
        <w:rPr>
          <w:rFonts w:ascii="Arial" w:hAnsi="Arial" w:cs="Arial"/>
          <w:i/>
        </w:rPr>
        <w:t xml:space="preserve"> e seu respectivo cálculo de pureza radioquímica conforme indicação do fabricante.</w:t>
      </w:r>
    </w:p>
    <w:p w:rsidR="004272D9" w:rsidRDefault="004272D9" w:rsidP="004272D9">
      <w:pPr>
        <w:ind w:firstLine="708"/>
        <w:jc w:val="center"/>
        <w:rPr>
          <w:rFonts w:ascii="Arial" w:hAnsi="Arial" w:cs="Arial"/>
          <w:sz w:val="20"/>
        </w:rPr>
      </w:pPr>
    </w:p>
    <w:p w:rsidR="004272D9" w:rsidRDefault="004272D9" w:rsidP="004272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modo geral, para se avaliar os contaminantes na amostra, </w:t>
      </w:r>
      <w:r>
        <w:rPr>
          <w:rFonts w:ascii="Arial" w:eastAsiaTheme="minorEastAsia" w:hAnsi="Arial" w:cs="Arial"/>
        </w:rPr>
        <w:t>as quantidades semeadas são mensuradas em equipamentos detectores de radiação, tais como calibradores de doses e contadores gama tipo poço e</w:t>
      </w:r>
      <w:r>
        <w:rPr>
          <w:rFonts w:ascii="Arial" w:hAnsi="Arial" w:cs="Arial"/>
        </w:rPr>
        <w:t xml:space="preserve"> assim é determinada a pureza radioquímica da marcação, </w:t>
      </w:r>
      <w:r w:rsidRPr="003F2347">
        <w:rPr>
          <w:rFonts w:ascii="Arial" w:hAnsi="Arial" w:cs="Arial"/>
        </w:rPr>
        <w:t xml:space="preserve">efetuando-se o seguinte </w:t>
      </w:r>
      <w:r>
        <w:rPr>
          <w:rFonts w:ascii="Arial" w:hAnsi="Arial" w:cs="Arial"/>
        </w:rPr>
        <w:t>cálculo percentual:</w:t>
      </w:r>
    </w:p>
    <w:p w:rsidR="004272D9" w:rsidRDefault="004272D9" w:rsidP="004272D9">
      <w:pPr>
        <w:ind w:left="708" w:firstLine="708"/>
        <w:jc w:val="both"/>
        <w:rPr>
          <w:rFonts w:ascii="Arial" w:eastAsiaTheme="minorEastAsia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%99mTc</m:t>
        </m:r>
        <m:sSubSup>
          <m:sSubSupPr>
            <m:ctrlPr>
              <w:rPr>
                <w:rFonts w:ascii="Cambria Math" w:hAnsi="Cambria Math" w:cs="Arial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Arial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="Arial"/>
              </w:rPr>
              <m:t>-</m:t>
            </m:r>
          </m:sup>
        </m:sSubSup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quantidade de </m:t>
            </m:r>
            <m:r>
              <m:rPr>
                <m:sty m:val="p"/>
              </m:rPr>
              <w:rPr>
                <w:rFonts w:ascii="Cambria Math" w:hAnsi="Cambria Math" w:cs="Arial"/>
              </w:rPr>
              <m:t>99mTc</m:t>
            </m:r>
            <m:sSubSup>
              <m:sSubSupPr>
                <m:ctrlPr>
                  <w:rPr>
                    <w:rFonts w:ascii="Cambria Math" w:hAnsi="Cambria Math" w:cs="Arial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</m:sup>
            </m:sSubSup>
          </m:num>
          <m:den>
            <m:r>
              <w:rPr>
                <w:rFonts w:ascii="Cambria Math" w:hAnsi="Cambria Math" w:cs="Arial"/>
              </w:rPr>
              <m:t>quantidade total aplicada</m:t>
            </m:r>
          </m:den>
        </m:f>
      </m:oMath>
      <w:r>
        <w:rPr>
          <w:rFonts w:ascii="Arial" w:eastAsiaTheme="minorEastAsia" w:hAnsi="Arial" w:cs="Arial"/>
        </w:rPr>
        <w:t xml:space="preserve">                                                                </w:t>
      </w:r>
      <w:r>
        <w:rPr>
          <w:rFonts w:ascii="Arial" w:eastAsiaTheme="minorEastAsia" w:hAnsi="Arial" w:cs="Arial"/>
        </w:rPr>
        <w:t xml:space="preserve">                       </w:t>
      </w:r>
      <w:r>
        <w:rPr>
          <w:rFonts w:ascii="Arial" w:eastAsiaTheme="minorEastAsia" w:hAnsi="Arial" w:cs="Arial"/>
        </w:rPr>
        <w:t xml:space="preserve"> (1)</w:t>
      </w:r>
    </w:p>
    <w:p w:rsidR="004272D9" w:rsidRDefault="004272D9" w:rsidP="004272D9">
      <w:pPr>
        <w:ind w:left="708" w:firstLine="708"/>
        <w:jc w:val="both"/>
        <w:rPr>
          <w:rFonts w:ascii="Arial" w:eastAsiaTheme="minorEastAsia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%99mTcO2</m:t>
        </m:r>
        <m: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quantidade de </m:t>
            </m:r>
            <m:r>
              <m:rPr>
                <m:sty m:val="p"/>
              </m:rPr>
              <w:rPr>
                <w:rFonts w:ascii="Cambria Math" w:hAnsi="Cambria Math" w:cs="Arial"/>
              </w:rPr>
              <m:t>99mTcO2</m:t>
            </m:r>
          </m:num>
          <m:den>
            <m:r>
              <w:rPr>
                <w:rFonts w:ascii="Cambria Math" w:hAnsi="Cambria Math" w:cs="Arial"/>
              </w:rPr>
              <m:t>quantidade total aplicada</m:t>
            </m:r>
          </m:den>
        </m:f>
      </m:oMath>
      <w:r>
        <w:rPr>
          <w:rFonts w:ascii="Arial" w:eastAsiaTheme="minorEastAsia" w:hAnsi="Arial" w:cs="Arial"/>
        </w:rPr>
        <w:t xml:space="preserve">                                                                     </w:t>
      </w:r>
      <w:r>
        <w:rPr>
          <w:rFonts w:ascii="Arial" w:eastAsiaTheme="minorEastAsia" w:hAnsi="Arial" w:cs="Arial"/>
        </w:rPr>
        <w:t xml:space="preserve">                 </w:t>
      </w:r>
      <w:r>
        <w:rPr>
          <w:rFonts w:ascii="Arial" w:eastAsiaTheme="minorEastAsia" w:hAnsi="Arial" w:cs="Arial"/>
        </w:rPr>
        <w:t xml:space="preserve">  (2)</w:t>
      </w:r>
    </w:p>
    <w:p w:rsidR="004272D9" w:rsidRDefault="004272D9" w:rsidP="004272D9">
      <w:pPr>
        <w:ind w:left="708" w:firstLine="708"/>
        <w:rPr>
          <w:rFonts w:ascii="Arial" w:eastAsiaTheme="minorEastAsia" w:hAnsi="Arial" w:cs="Arial"/>
        </w:rPr>
      </w:pPr>
      <w:r w:rsidRPr="00C557AE">
        <w:rPr>
          <w:rFonts w:ascii="Arial" w:eastAsiaTheme="minorEastAsia" w:hAnsi="Arial" w:cs="Arial"/>
        </w:rPr>
        <w:t xml:space="preserve">Eficiência (%) = 100 - (% </w:t>
      </w:r>
      <w:r w:rsidRPr="00C557AE">
        <w:rPr>
          <w:rFonts w:ascii="Arial" w:eastAsiaTheme="minorEastAsia" w:hAnsi="Arial" w:cs="Arial"/>
          <w:vertAlign w:val="superscript"/>
        </w:rPr>
        <w:t>99m</w:t>
      </w:r>
      <w:r w:rsidRPr="00C557AE">
        <w:rPr>
          <w:rFonts w:ascii="Arial" w:eastAsiaTheme="minorEastAsia" w:hAnsi="Arial" w:cs="Arial"/>
        </w:rPr>
        <w:t>TcO</w:t>
      </w:r>
      <w:r w:rsidRPr="00C557AE">
        <w:rPr>
          <w:rFonts w:ascii="Arial" w:eastAsiaTheme="minorEastAsia" w:hAnsi="Arial" w:cs="Arial"/>
          <w:vertAlign w:val="subscript"/>
        </w:rPr>
        <w:t>4</w:t>
      </w:r>
      <w:r w:rsidRPr="00C557AE">
        <w:rPr>
          <w:rFonts w:ascii="Arial" w:eastAsiaTheme="minorEastAsia" w:hAnsi="Arial" w:cs="Arial"/>
          <w:vertAlign w:val="superscript"/>
        </w:rPr>
        <w:t>-</w:t>
      </w:r>
      <w:r w:rsidRPr="00C557AE">
        <w:rPr>
          <w:rFonts w:ascii="Arial" w:eastAsiaTheme="minorEastAsia" w:hAnsi="Arial" w:cs="Arial"/>
        </w:rPr>
        <w:t xml:space="preserve"> + % </w:t>
      </w:r>
      <w:r w:rsidRPr="00C557AE">
        <w:rPr>
          <w:rFonts w:ascii="Arial" w:eastAsiaTheme="minorEastAsia" w:hAnsi="Arial" w:cs="Arial"/>
          <w:vertAlign w:val="superscript"/>
        </w:rPr>
        <w:t>99m</w:t>
      </w:r>
      <w:r w:rsidRPr="00C557AE">
        <w:rPr>
          <w:rFonts w:ascii="Arial" w:eastAsiaTheme="minorEastAsia" w:hAnsi="Arial" w:cs="Arial"/>
        </w:rPr>
        <w:t>TcO</w:t>
      </w:r>
      <w:r w:rsidRPr="00C557AE">
        <w:rPr>
          <w:rFonts w:ascii="Arial" w:eastAsiaTheme="minorEastAsia" w:hAnsi="Arial" w:cs="Arial"/>
          <w:vertAlign w:val="subscript"/>
        </w:rPr>
        <w:t>2</w:t>
      </w:r>
      <w:r w:rsidRPr="00C557AE">
        <w:rPr>
          <w:rFonts w:ascii="Arial" w:eastAsiaTheme="minorEastAsia" w:hAnsi="Arial" w:cs="Arial"/>
        </w:rPr>
        <w:t xml:space="preserve">) </w:t>
      </w:r>
      <w:r>
        <w:rPr>
          <w:rFonts w:ascii="Arial" w:eastAsiaTheme="minorEastAsia" w:hAnsi="Arial" w:cs="Arial"/>
        </w:rPr>
        <w:t xml:space="preserve">                                 </w:t>
      </w:r>
      <w:r>
        <w:rPr>
          <w:rFonts w:ascii="Arial" w:eastAsiaTheme="minorEastAsia" w:hAnsi="Arial" w:cs="Arial"/>
        </w:rPr>
        <w:t xml:space="preserve">                              </w:t>
      </w:r>
      <w:proofErr w:type="gramStart"/>
      <w:r>
        <w:rPr>
          <w:rFonts w:ascii="Arial" w:eastAsiaTheme="minorEastAsia" w:hAnsi="Arial" w:cs="Arial"/>
        </w:rPr>
        <w:t xml:space="preserve">  </w:t>
      </w:r>
      <w:r>
        <w:rPr>
          <w:rFonts w:ascii="Arial" w:eastAsiaTheme="minorEastAsia" w:hAnsi="Arial" w:cs="Arial"/>
        </w:rPr>
        <w:t xml:space="preserve"> (</w:t>
      </w:r>
      <w:proofErr w:type="gramEnd"/>
      <w:r>
        <w:rPr>
          <w:rFonts w:ascii="Arial" w:eastAsiaTheme="minorEastAsia" w:hAnsi="Arial" w:cs="Arial"/>
        </w:rPr>
        <w:t>3)</w:t>
      </w:r>
    </w:p>
    <w:p w:rsidR="004272D9" w:rsidRDefault="004272D9" w:rsidP="004272D9">
      <w:pPr>
        <w:ind w:firstLine="708"/>
        <w:jc w:val="both"/>
        <w:rPr>
          <w:rFonts w:ascii="Arial" w:hAnsi="Arial" w:cs="Arial"/>
        </w:rPr>
      </w:pPr>
    </w:p>
    <w:p w:rsidR="004272D9" w:rsidRDefault="004272D9" w:rsidP="004272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709D1">
        <w:rPr>
          <w:rFonts w:ascii="Arial" w:hAnsi="Arial" w:cs="Arial"/>
        </w:rPr>
        <w:t xml:space="preserve">marcação é, em geral, </w:t>
      </w:r>
      <w:r>
        <w:rPr>
          <w:rFonts w:ascii="Arial" w:hAnsi="Arial" w:cs="Arial"/>
        </w:rPr>
        <w:t xml:space="preserve">considerada adequada para uso quando sua eficiência de marcação for acima de 90% </w:t>
      </w:r>
      <w:r w:rsidRPr="00E709D1">
        <w:rPr>
          <w:rFonts w:ascii="Arial" w:hAnsi="Arial" w:cs="Arial"/>
        </w:rPr>
        <w:t>[</w:t>
      </w:r>
      <w:r>
        <w:rPr>
          <w:rFonts w:ascii="Arial" w:hAnsi="Arial" w:cs="Arial"/>
        </w:rPr>
        <w:t xml:space="preserve">conforme referência número </w:t>
      </w:r>
      <w:r w:rsidRPr="00E709D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artigo</w:t>
      </w:r>
      <w:r w:rsidRPr="00E709D1">
        <w:rPr>
          <w:rFonts w:ascii="Arial" w:hAnsi="Arial" w:cs="Arial"/>
        </w:rPr>
        <w:t>].</w:t>
      </w:r>
    </w:p>
    <w:p w:rsidR="006954B2" w:rsidRPr="006E0110" w:rsidRDefault="006954B2" w:rsidP="006E0110">
      <w:pPr>
        <w:ind w:firstLine="708"/>
        <w:jc w:val="both"/>
        <w:rPr>
          <w:rFonts w:ascii="Arial" w:hAnsi="Arial" w:cs="Arial"/>
        </w:rPr>
      </w:pPr>
    </w:p>
    <w:bookmarkEnd w:id="0"/>
    <w:p w:rsidR="006E0110" w:rsidRPr="00FD4DFD" w:rsidRDefault="006E0110" w:rsidP="006E0110">
      <w:pPr>
        <w:jc w:val="both"/>
        <w:rPr>
          <w:i/>
          <w:sz w:val="20"/>
        </w:rPr>
      </w:pPr>
      <w:r>
        <w:rPr>
          <w:rFonts w:ascii="Arial" w:hAnsi="Arial" w:cs="Arial"/>
          <w:i/>
        </w:rPr>
        <w:tab/>
      </w:r>
    </w:p>
    <w:p w:rsidR="006E0110" w:rsidRDefault="006E0110" w:rsidP="006E0110">
      <w:pPr>
        <w:pStyle w:val="PargrafodaLista"/>
        <w:jc w:val="center"/>
        <w:rPr>
          <w:rFonts w:ascii="Arial" w:hAnsi="Arial" w:cs="Arial"/>
        </w:rPr>
      </w:pPr>
      <w:r w:rsidRPr="002B1FF2">
        <w:rPr>
          <w:rFonts w:ascii="Arial" w:hAnsi="Arial" w:cs="Arial"/>
          <w:sz w:val="20"/>
        </w:rPr>
        <w:t xml:space="preserve">Tabela </w:t>
      </w:r>
      <w:r w:rsidR="004272D9">
        <w:rPr>
          <w:rFonts w:ascii="Arial" w:hAnsi="Arial" w:cs="Arial"/>
          <w:sz w:val="20"/>
        </w:rPr>
        <w:t>1</w:t>
      </w:r>
      <w:r w:rsidRPr="002B1FF2">
        <w:rPr>
          <w:rFonts w:ascii="Arial" w:hAnsi="Arial" w:cs="Arial"/>
          <w:sz w:val="20"/>
        </w:rPr>
        <w:t xml:space="preserve">. Marcação 42 </w:t>
      </w:r>
      <w:proofErr w:type="spellStart"/>
      <w:r w:rsidRPr="002B1FF2">
        <w:rPr>
          <w:rFonts w:ascii="Arial" w:hAnsi="Arial" w:cs="Arial"/>
          <w:sz w:val="20"/>
        </w:rPr>
        <w:t>mCi</w:t>
      </w:r>
      <w:proofErr w:type="spellEnd"/>
      <w:r w:rsidRPr="002B1FF2">
        <w:rPr>
          <w:rFonts w:ascii="Arial" w:hAnsi="Arial" w:cs="Arial"/>
          <w:sz w:val="20"/>
        </w:rPr>
        <w:t>/3 ml, analisada dentro validade de 6 horas</w:t>
      </w:r>
      <w:r w:rsidRPr="00D3221B">
        <w:rPr>
          <w:rFonts w:ascii="Arial" w:hAnsi="Arial" w:cs="Arial"/>
        </w:rPr>
        <w:t>.</w:t>
      </w:r>
    </w:p>
    <w:p w:rsidR="006E0110" w:rsidRDefault="006E0110" w:rsidP="006E0110">
      <w:pPr>
        <w:pStyle w:val="PargrafodaLista"/>
        <w:jc w:val="center"/>
        <w:rPr>
          <w:rFonts w:ascii="Arial" w:hAnsi="Arial" w:cs="Arial"/>
        </w:rPr>
      </w:pPr>
    </w:p>
    <w:p w:rsidR="006E0110" w:rsidRDefault="004272D9" w:rsidP="006E0110">
      <w:pPr>
        <w:pStyle w:val="PargrafodaLista"/>
        <w:jc w:val="center"/>
        <w:rPr>
          <w:rFonts w:ascii="Arial" w:hAnsi="Arial" w:cs="Arial"/>
        </w:rPr>
      </w:pPr>
      <w:r w:rsidRPr="00213478">
        <w:rPr>
          <w:noProof/>
        </w:rPr>
        <w:drawing>
          <wp:inline distT="0" distB="0" distL="0" distR="0" wp14:anchorId="4EEE1778" wp14:editId="1F072FFC">
            <wp:extent cx="6168832" cy="1695751"/>
            <wp:effectExtent l="0" t="0" r="381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67" cy="16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D9" w:rsidRDefault="004272D9" w:rsidP="006E0110">
      <w:pPr>
        <w:pStyle w:val="PargrafodaLista"/>
        <w:jc w:val="center"/>
        <w:rPr>
          <w:rFonts w:ascii="Arial" w:hAnsi="Arial" w:cs="Arial"/>
        </w:rPr>
      </w:pPr>
      <w:bookmarkStart w:id="2" w:name="_GoBack"/>
      <w:bookmarkEnd w:id="2"/>
    </w:p>
    <w:p w:rsidR="006E0110" w:rsidRPr="002B1FF2" w:rsidRDefault="004272D9" w:rsidP="006E0110">
      <w:pPr>
        <w:jc w:val="center"/>
        <w:rPr>
          <w:rFonts w:ascii="Arial" w:hAnsi="Arial" w:cs="Arial"/>
          <w:sz w:val="20"/>
        </w:rPr>
      </w:pPr>
      <w:r w:rsidRPr="00213478">
        <w:rPr>
          <w:noProof/>
        </w:rPr>
        <w:drawing>
          <wp:anchor distT="0" distB="0" distL="114300" distR="114300" simplePos="0" relativeHeight="251664384" behindDoc="0" locked="0" layoutInCell="1" allowOverlap="1" wp14:anchorId="0FCFE832">
            <wp:simplePos x="0" y="0"/>
            <wp:positionH relativeFrom="column">
              <wp:posOffset>393009</wp:posOffset>
            </wp:positionH>
            <wp:positionV relativeFrom="paragraph">
              <wp:posOffset>262255</wp:posOffset>
            </wp:positionV>
            <wp:extent cx="6153878" cy="1691640"/>
            <wp:effectExtent l="0" t="0" r="0" b="3810"/>
            <wp:wrapSquare wrapText="bothSides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878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110" w:rsidRPr="002B1FF2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2</w:t>
      </w:r>
      <w:r w:rsidR="006E0110" w:rsidRPr="002B1FF2">
        <w:rPr>
          <w:rFonts w:ascii="Arial" w:hAnsi="Arial" w:cs="Arial"/>
          <w:sz w:val="20"/>
        </w:rPr>
        <w:t xml:space="preserve">. </w:t>
      </w:r>
      <w:r w:rsidR="006E0110">
        <w:rPr>
          <w:rFonts w:ascii="Arial" w:hAnsi="Arial" w:cs="Arial"/>
          <w:sz w:val="20"/>
        </w:rPr>
        <w:t>M</w:t>
      </w:r>
      <w:r w:rsidR="006E0110" w:rsidRPr="002B1FF2">
        <w:rPr>
          <w:rFonts w:ascii="Arial" w:hAnsi="Arial" w:cs="Arial"/>
          <w:sz w:val="20"/>
        </w:rPr>
        <w:t xml:space="preserve">arcação 173 </w:t>
      </w:r>
      <w:proofErr w:type="spellStart"/>
      <w:r w:rsidR="006E0110" w:rsidRPr="002B1FF2">
        <w:rPr>
          <w:rFonts w:ascii="Arial" w:hAnsi="Arial" w:cs="Arial"/>
          <w:sz w:val="20"/>
        </w:rPr>
        <w:t>mCi</w:t>
      </w:r>
      <w:proofErr w:type="spellEnd"/>
      <w:r w:rsidR="006E0110" w:rsidRPr="002B1FF2">
        <w:rPr>
          <w:rFonts w:ascii="Arial" w:hAnsi="Arial" w:cs="Arial"/>
          <w:sz w:val="20"/>
        </w:rPr>
        <w:t>/6 ml, analisada dentro validade de 6 horas.</w:t>
      </w:r>
    </w:p>
    <w:p w:rsidR="006E0110" w:rsidRDefault="006E0110" w:rsidP="004272D9">
      <w:pPr>
        <w:jc w:val="center"/>
      </w:pPr>
    </w:p>
    <w:p w:rsidR="006E0110" w:rsidRDefault="006E0110" w:rsidP="006E0110"/>
    <w:p w:rsidR="004272D9" w:rsidRDefault="004272D9" w:rsidP="006E0110">
      <w:pPr>
        <w:jc w:val="center"/>
        <w:rPr>
          <w:rFonts w:ascii="Arial" w:hAnsi="Arial" w:cs="Arial"/>
          <w:sz w:val="20"/>
        </w:rPr>
      </w:pPr>
    </w:p>
    <w:p w:rsidR="004272D9" w:rsidRDefault="004272D9" w:rsidP="006E0110">
      <w:pPr>
        <w:jc w:val="center"/>
        <w:rPr>
          <w:rFonts w:ascii="Arial" w:hAnsi="Arial" w:cs="Arial"/>
          <w:sz w:val="20"/>
        </w:rPr>
      </w:pPr>
    </w:p>
    <w:p w:rsidR="004272D9" w:rsidRDefault="004272D9" w:rsidP="006E0110">
      <w:pPr>
        <w:jc w:val="center"/>
        <w:rPr>
          <w:rFonts w:ascii="Arial" w:hAnsi="Arial" w:cs="Arial"/>
          <w:sz w:val="20"/>
        </w:rPr>
      </w:pPr>
    </w:p>
    <w:p w:rsidR="006E0110" w:rsidRDefault="004272D9" w:rsidP="006E0110">
      <w:pPr>
        <w:jc w:val="center"/>
        <w:rPr>
          <w:rFonts w:ascii="Arial" w:hAnsi="Arial" w:cs="Arial"/>
          <w:sz w:val="20"/>
        </w:rPr>
      </w:pPr>
      <w:r w:rsidRPr="0021347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05B9298">
            <wp:simplePos x="0" y="0"/>
            <wp:positionH relativeFrom="margin">
              <wp:posOffset>290195</wp:posOffset>
            </wp:positionH>
            <wp:positionV relativeFrom="paragraph">
              <wp:posOffset>232245</wp:posOffset>
            </wp:positionV>
            <wp:extent cx="6153785" cy="1691640"/>
            <wp:effectExtent l="0" t="0" r="0" b="3810"/>
            <wp:wrapSquare wrapText="bothSides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110" w:rsidRPr="002B1FF2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3</w:t>
      </w:r>
      <w:r w:rsidR="006E0110" w:rsidRPr="002B1FF2">
        <w:rPr>
          <w:rFonts w:ascii="Arial" w:hAnsi="Arial" w:cs="Arial"/>
          <w:sz w:val="20"/>
        </w:rPr>
        <w:t xml:space="preserve">. </w:t>
      </w:r>
      <w:r w:rsidR="006E0110">
        <w:rPr>
          <w:rFonts w:ascii="Arial" w:hAnsi="Arial" w:cs="Arial"/>
          <w:sz w:val="20"/>
        </w:rPr>
        <w:t>M</w:t>
      </w:r>
      <w:r w:rsidR="006E0110" w:rsidRPr="002B1FF2">
        <w:rPr>
          <w:rFonts w:ascii="Arial" w:hAnsi="Arial" w:cs="Arial"/>
          <w:sz w:val="20"/>
        </w:rPr>
        <w:t xml:space="preserve">arcação 173 </w:t>
      </w:r>
      <w:proofErr w:type="spellStart"/>
      <w:r w:rsidR="006E0110" w:rsidRPr="002B1FF2">
        <w:rPr>
          <w:rFonts w:ascii="Arial" w:hAnsi="Arial" w:cs="Arial"/>
          <w:sz w:val="20"/>
        </w:rPr>
        <w:t>mCi</w:t>
      </w:r>
      <w:proofErr w:type="spellEnd"/>
      <w:r w:rsidR="006E0110" w:rsidRPr="002B1FF2">
        <w:rPr>
          <w:rFonts w:ascii="Arial" w:hAnsi="Arial" w:cs="Arial"/>
          <w:sz w:val="20"/>
        </w:rPr>
        <w:t>/6 ml, analisada fora da validade (após 24 horas).</w:t>
      </w:r>
    </w:p>
    <w:p w:rsidR="006E0110" w:rsidRDefault="006E0110" w:rsidP="006E0110">
      <w:pPr>
        <w:jc w:val="center"/>
        <w:rPr>
          <w:rFonts w:ascii="Arial" w:hAnsi="Arial" w:cs="Arial"/>
          <w:sz w:val="20"/>
        </w:rPr>
      </w:pPr>
    </w:p>
    <w:p w:rsidR="006E0110" w:rsidRDefault="004272D9" w:rsidP="006E0110">
      <w:pPr>
        <w:jc w:val="center"/>
        <w:rPr>
          <w:rFonts w:ascii="Arial" w:hAnsi="Arial" w:cs="Arial"/>
          <w:sz w:val="20"/>
        </w:rPr>
      </w:pPr>
      <w:r w:rsidRPr="00213478">
        <w:rPr>
          <w:noProof/>
        </w:rPr>
        <w:drawing>
          <wp:anchor distT="0" distB="0" distL="114300" distR="114300" simplePos="0" relativeHeight="251662336" behindDoc="0" locked="0" layoutInCell="1" allowOverlap="1" wp14:anchorId="093010DD">
            <wp:simplePos x="0" y="0"/>
            <wp:positionH relativeFrom="column">
              <wp:posOffset>306126</wp:posOffset>
            </wp:positionH>
            <wp:positionV relativeFrom="paragraph">
              <wp:posOffset>372082</wp:posOffset>
            </wp:positionV>
            <wp:extent cx="6153877" cy="1691640"/>
            <wp:effectExtent l="0" t="0" r="0" b="381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877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110" w:rsidRPr="002B1FF2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4</w:t>
      </w:r>
      <w:r w:rsidR="006E0110" w:rsidRPr="002B1FF2">
        <w:rPr>
          <w:rFonts w:ascii="Arial" w:hAnsi="Arial" w:cs="Arial"/>
          <w:sz w:val="20"/>
        </w:rPr>
        <w:t xml:space="preserve">. </w:t>
      </w:r>
      <w:r w:rsidR="006E0110">
        <w:rPr>
          <w:rFonts w:ascii="Arial" w:hAnsi="Arial" w:cs="Arial"/>
          <w:sz w:val="20"/>
        </w:rPr>
        <w:t>M</w:t>
      </w:r>
      <w:r w:rsidR="006E0110" w:rsidRPr="00213478">
        <w:rPr>
          <w:rFonts w:ascii="Arial" w:hAnsi="Arial" w:cs="Arial"/>
          <w:sz w:val="20"/>
        </w:rPr>
        <w:t xml:space="preserve">arcação 329 </w:t>
      </w:r>
      <w:proofErr w:type="spellStart"/>
      <w:r w:rsidR="006E0110" w:rsidRPr="00213478">
        <w:rPr>
          <w:rFonts w:ascii="Arial" w:hAnsi="Arial" w:cs="Arial"/>
          <w:sz w:val="20"/>
        </w:rPr>
        <w:t>mCi</w:t>
      </w:r>
      <w:proofErr w:type="spellEnd"/>
      <w:r w:rsidR="006E0110" w:rsidRPr="00213478">
        <w:rPr>
          <w:rFonts w:ascii="Arial" w:hAnsi="Arial" w:cs="Arial"/>
          <w:sz w:val="20"/>
        </w:rPr>
        <w:t>/ 3 ml, tendo sido proposital a entrada de ar no reagente, analisada dentro validade de 6 ho</w:t>
      </w:r>
      <w:r w:rsidR="006E0110">
        <w:rPr>
          <w:rFonts w:ascii="Arial" w:hAnsi="Arial" w:cs="Arial"/>
          <w:sz w:val="20"/>
        </w:rPr>
        <w:t>r</w:t>
      </w:r>
      <w:r w:rsidR="006E0110" w:rsidRPr="00213478">
        <w:rPr>
          <w:rFonts w:ascii="Arial" w:hAnsi="Arial" w:cs="Arial"/>
          <w:sz w:val="20"/>
        </w:rPr>
        <w:t>as.</w:t>
      </w:r>
    </w:p>
    <w:p w:rsidR="006E0110" w:rsidRDefault="006E0110" w:rsidP="006E0110">
      <w:pPr>
        <w:jc w:val="center"/>
      </w:pPr>
    </w:p>
    <w:p w:rsidR="006E0110" w:rsidRDefault="006E0110" w:rsidP="006E0110">
      <w:pPr>
        <w:jc w:val="center"/>
      </w:pPr>
    </w:p>
    <w:p w:rsidR="006E0110" w:rsidRDefault="004272D9" w:rsidP="006E0110">
      <w:pPr>
        <w:jc w:val="center"/>
        <w:rPr>
          <w:rFonts w:ascii="Arial" w:hAnsi="Arial" w:cs="Arial"/>
          <w:sz w:val="20"/>
        </w:rPr>
      </w:pPr>
      <w:bookmarkStart w:id="3" w:name="_Hlk527353460"/>
      <w:r w:rsidRPr="00213478">
        <w:rPr>
          <w:noProof/>
        </w:rPr>
        <w:drawing>
          <wp:anchor distT="0" distB="0" distL="114300" distR="114300" simplePos="0" relativeHeight="251663360" behindDoc="0" locked="0" layoutInCell="1" allowOverlap="1" wp14:anchorId="3CD27BE7">
            <wp:simplePos x="0" y="0"/>
            <wp:positionH relativeFrom="column">
              <wp:posOffset>334010</wp:posOffset>
            </wp:positionH>
            <wp:positionV relativeFrom="paragraph">
              <wp:posOffset>446405</wp:posOffset>
            </wp:positionV>
            <wp:extent cx="6153785" cy="1691640"/>
            <wp:effectExtent l="0" t="0" r="0" b="3810"/>
            <wp:wrapSquare wrapText="bothSides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110" w:rsidRPr="002B1FF2">
        <w:rPr>
          <w:rFonts w:ascii="Arial" w:hAnsi="Arial" w:cs="Arial"/>
          <w:sz w:val="20"/>
        </w:rPr>
        <w:t xml:space="preserve">Tabela </w:t>
      </w:r>
      <w:r>
        <w:rPr>
          <w:rFonts w:ascii="Arial" w:hAnsi="Arial" w:cs="Arial"/>
          <w:sz w:val="20"/>
        </w:rPr>
        <w:t>5</w:t>
      </w:r>
      <w:r w:rsidR="006E0110" w:rsidRPr="002B1FF2">
        <w:rPr>
          <w:rFonts w:ascii="Arial" w:hAnsi="Arial" w:cs="Arial"/>
          <w:sz w:val="20"/>
        </w:rPr>
        <w:t xml:space="preserve">. </w:t>
      </w:r>
      <w:r w:rsidR="006E0110">
        <w:rPr>
          <w:rFonts w:ascii="Arial" w:hAnsi="Arial" w:cs="Arial"/>
          <w:sz w:val="20"/>
        </w:rPr>
        <w:t>M</w:t>
      </w:r>
      <w:r w:rsidR="006E0110" w:rsidRPr="00213478">
        <w:rPr>
          <w:rFonts w:ascii="Arial" w:hAnsi="Arial" w:cs="Arial"/>
          <w:sz w:val="20"/>
        </w:rPr>
        <w:t xml:space="preserve">arcação 137 </w:t>
      </w:r>
      <w:proofErr w:type="spellStart"/>
      <w:r w:rsidR="006E0110" w:rsidRPr="00213478">
        <w:rPr>
          <w:rFonts w:ascii="Arial" w:hAnsi="Arial" w:cs="Arial"/>
          <w:sz w:val="20"/>
        </w:rPr>
        <w:t>mCi</w:t>
      </w:r>
      <w:proofErr w:type="spellEnd"/>
      <w:r w:rsidR="006E0110" w:rsidRPr="00213478">
        <w:rPr>
          <w:rFonts w:ascii="Arial" w:hAnsi="Arial" w:cs="Arial"/>
          <w:sz w:val="20"/>
        </w:rPr>
        <w:t>/5 ml, tendo sido proposital a entrada de ar no reagente, analisada fora da validade (após 24 horas)</w:t>
      </w:r>
      <w:r w:rsidR="006E0110">
        <w:rPr>
          <w:rFonts w:ascii="Arial" w:hAnsi="Arial" w:cs="Arial"/>
          <w:sz w:val="20"/>
        </w:rPr>
        <w:t>.</w:t>
      </w:r>
    </w:p>
    <w:p w:rsidR="006E0110" w:rsidRDefault="006E0110" w:rsidP="006E0110">
      <w:pPr>
        <w:jc w:val="center"/>
        <w:rPr>
          <w:rFonts w:ascii="Arial" w:hAnsi="Arial" w:cs="Arial"/>
          <w:sz w:val="20"/>
        </w:rPr>
      </w:pPr>
    </w:p>
    <w:bookmarkEnd w:id="3"/>
    <w:p w:rsidR="00FE5F96" w:rsidRDefault="00FE5F96"/>
    <w:sectPr w:rsidR="00FE5F96" w:rsidSect="004272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0"/>
    <w:rsid w:val="004272D9"/>
    <w:rsid w:val="006954B2"/>
    <w:rsid w:val="006E0110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DA64"/>
  <w15:chartTrackingRefBased/>
  <w15:docId w15:val="{D3749B3F-CAC4-46EE-9CC2-AD6C1F0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1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2018-11-30T09:47:00Z</dcterms:created>
  <dcterms:modified xsi:type="dcterms:W3CDTF">2018-11-30T10:04:00Z</dcterms:modified>
</cp:coreProperties>
</file>